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A83B1" w14:textId="77777777" w:rsidR="005D70D5" w:rsidRPr="00A83BAA" w:rsidRDefault="006C074E">
      <w:pPr>
        <w:pStyle w:val="Heading1"/>
        <w:rPr>
          <w:rFonts w:eastAsia="Times New Roman"/>
          <w:b/>
        </w:rPr>
      </w:pPr>
      <w:r w:rsidRPr="00A83BAA">
        <w:rPr>
          <w:rFonts w:eastAsia="Times New Roman"/>
          <w:b/>
          <w:highlight w:val="white"/>
        </w:rPr>
        <w:t>1311.1 PURPOSE</w:t>
      </w:r>
    </w:p>
    <w:p w14:paraId="3EFAD81F" w14:textId="77777777" w:rsidR="005D70D5" w:rsidRPr="00A83BAA" w:rsidRDefault="005D70D5" w:rsidP="006C074E">
      <w:pPr>
        <w:pStyle w:val="Normal1"/>
        <w:spacing w:line="276" w:lineRule="auto"/>
        <w:rPr>
          <w:rFonts w:ascii="Arial" w:hAnsi="Arial" w:cs="Arial"/>
        </w:rPr>
      </w:pPr>
    </w:p>
    <w:p w14:paraId="3841E74B" w14:textId="77777777" w:rsidR="006C074E" w:rsidRPr="00A83BAA" w:rsidRDefault="006C074E" w:rsidP="006C074E">
      <w:pPr>
        <w:pStyle w:val="Normal1"/>
        <w:spacing w:line="276" w:lineRule="auto"/>
        <w:rPr>
          <w:rFonts w:ascii="Arial" w:hAnsi="Arial" w:cs="Arial"/>
          <w:highlight w:val="white"/>
        </w:rPr>
      </w:pPr>
      <w:r w:rsidRPr="00A83BAA">
        <w:rPr>
          <w:rFonts w:ascii="Arial" w:hAnsi="Arial" w:cs="Arial"/>
          <w:highlight w:val="white"/>
        </w:rPr>
        <w:t xml:space="preserve">The Transitional Support Services (TSS) initiative is an FIA program which stems from the Two-Generation Family Economic Security Commission’s 2018 Final Report. The initiative’s purpose is to assist families with their transition from welfare to work as it lessens the effect of the benefit cliff immediately upon obtaining employment.  </w:t>
      </w:r>
    </w:p>
    <w:p w14:paraId="5352ED67" w14:textId="77777777" w:rsidR="005D70D5" w:rsidRPr="00A83BAA" w:rsidRDefault="005D70D5" w:rsidP="006C074E">
      <w:pPr>
        <w:pStyle w:val="Normal1"/>
        <w:spacing w:line="276" w:lineRule="auto"/>
        <w:rPr>
          <w:rFonts w:ascii="Arial" w:hAnsi="Arial" w:cs="Arial"/>
          <w:highlight w:val="white"/>
        </w:rPr>
      </w:pPr>
    </w:p>
    <w:p w14:paraId="2F6A7B5C" w14:textId="77777777" w:rsidR="005D70D5" w:rsidRPr="00A83BAA" w:rsidRDefault="00E75269" w:rsidP="006C074E">
      <w:pPr>
        <w:pStyle w:val="Normal1"/>
        <w:spacing w:line="276" w:lineRule="auto"/>
        <w:rPr>
          <w:rFonts w:ascii="Arial" w:hAnsi="Arial" w:cs="Arial"/>
        </w:rPr>
      </w:pPr>
      <w:r w:rsidRPr="00A83BAA">
        <w:rPr>
          <w:rFonts w:ascii="Arial" w:hAnsi="Arial" w:cs="Arial"/>
        </w:rPr>
        <w:t xml:space="preserve">A household may be eligible to receive up to </w:t>
      </w:r>
      <w:r w:rsidR="006C074E" w:rsidRPr="00A83BAA">
        <w:rPr>
          <w:rFonts w:ascii="Arial" w:hAnsi="Arial" w:cs="Arial"/>
        </w:rPr>
        <w:t>three consecutive months of TSS after its TCA case closes</w:t>
      </w:r>
      <w:r w:rsidRPr="00A83BAA">
        <w:rPr>
          <w:rFonts w:ascii="Arial" w:hAnsi="Arial" w:cs="Arial"/>
        </w:rPr>
        <w:t xml:space="preserve"> due to over-scale income, at least a portion of which must be earned income. The TSS grant amount is a cash benefit equal to the last monthly TCA payment received by the household (not including TCA underpayment corrections). </w:t>
      </w:r>
    </w:p>
    <w:p w14:paraId="230B4454" w14:textId="77777777" w:rsidR="005D70D5" w:rsidRPr="00A83BAA" w:rsidRDefault="005D70D5" w:rsidP="006C074E">
      <w:pPr>
        <w:pStyle w:val="Normal1"/>
        <w:spacing w:line="276" w:lineRule="auto"/>
        <w:rPr>
          <w:rFonts w:ascii="Arial" w:hAnsi="Arial" w:cs="Arial"/>
        </w:rPr>
      </w:pPr>
    </w:p>
    <w:p w14:paraId="0248FE12" w14:textId="77777777" w:rsidR="005D70D5" w:rsidRPr="00A83BAA" w:rsidRDefault="006C074E" w:rsidP="006C074E">
      <w:pPr>
        <w:pStyle w:val="Normal1"/>
        <w:spacing w:line="276" w:lineRule="auto"/>
        <w:rPr>
          <w:rFonts w:ascii="Arial" w:hAnsi="Arial" w:cs="Arial"/>
        </w:rPr>
      </w:pPr>
      <w:r w:rsidRPr="00A83BAA">
        <w:rPr>
          <w:rFonts w:ascii="Arial" w:hAnsi="Arial" w:cs="Arial"/>
          <w:b/>
          <w:highlight w:val="white"/>
        </w:rPr>
        <w:t>1311.2</w:t>
      </w:r>
      <w:r w:rsidRPr="00A83BAA">
        <w:rPr>
          <w:rFonts w:ascii="Arial" w:hAnsi="Arial" w:cs="Arial"/>
          <w:b/>
        </w:rPr>
        <w:t xml:space="preserve"> ELIGIBILITY</w:t>
      </w:r>
      <w:r w:rsidR="00E75269" w:rsidRPr="00A83BAA">
        <w:rPr>
          <w:rFonts w:ascii="Arial" w:hAnsi="Arial" w:cs="Arial"/>
          <w:b/>
        </w:rPr>
        <w:t xml:space="preserve"> REQUIREMENTS</w:t>
      </w:r>
    </w:p>
    <w:p w14:paraId="4547AAD1" w14:textId="77777777" w:rsidR="005D70D5" w:rsidRPr="00A83BAA" w:rsidRDefault="005D70D5" w:rsidP="006C074E">
      <w:pPr>
        <w:pStyle w:val="Normal1"/>
        <w:spacing w:line="276" w:lineRule="auto"/>
        <w:rPr>
          <w:rFonts w:ascii="Arial" w:hAnsi="Arial" w:cs="Arial"/>
        </w:rPr>
      </w:pPr>
    </w:p>
    <w:p w14:paraId="6970E932" w14:textId="77777777" w:rsidR="005D70D5" w:rsidRPr="00A83BAA" w:rsidRDefault="00E75269" w:rsidP="006C074E">
      <w:pPr>
        <w:pStyle w:val="Normal1"/>
        <w:numPr>
          <w:ilvl w:val="0"/>
          <w:numId w:val="2"/>
        </w:numPr>
        <w:tabs>
          <w:tab w:val="left" w:pos="360"/>
        </w:tabs>
        <w:spacing w:line="276" w:lineRule="auto"/>
        <w:ind w:hanging="360"/>
        <w:rPr>
          <w:rFonts w:ascii="Arial" w:hAnsi="Arial" w:cs="Arial"/>
        </w:rPr>
      </w:pPr>
      <w:r w:rsidRPr="00A83BAA">
        <w:rPr>
          <w:rFonts w:ascii="Arial" w:hAnsi="Arial" w:cs="Arial"/>
          <w:b/>
        </w:rPr>
        <w:t>To be eligible for TSS, a household must meet all of the following criteria:</w:t>
      </w:r>
    </w:p>
    <w:p w14:paraId="2BAF08C5" w14:textId="77777777" w:rsidR="005D70D5" w:rsidRPr="00A83BAA" w:rsidRDefault="005D70D5" w:rsidP="006C074E">
      <w:pPr>
        <w:pStyle w:val="Normal1"/>
        <w:spacing w:line="276" w:lineRule="auto"/>
        <w:ind w:firstLine="360"/>
        <w:rPr>
          <w:rFonts w:ascii="Arial" w:hAnsi="Arial" w:cs="Arial"/>
        </w:rPr>
      </w:pPr>
    </w:p>
    <w:p w14:paraId="74F02CBA" w14:textId="77777777" w:rsidR="005D70D5" w:rsidRPr="00A83BAA" w:rsidRDefault="00E75269" w:rsidP="006C074E">
      <w:pPr>
        <w:pStyle w:val="Normal1"/>
        <w:numPr>
          <w:ilvl w:val="0"/>
          <w:numId w:val="7"/>
        </w:numPr>
        <w:spacing w:line="276" w:lineRule="auto"/>
        <w:ind w:left="1080"/>
        <w:rPr>
          <w:rFonts w:ascii="Arial" w:hAnsi="Arial" w:cs="Arial"/>
        </w:rPr>
      </w:pPr>
      <w:r w:rsidRPr="00A83BAA">
        <w:rPr>
          <w:rFonts w:ascii="Arial" w:hAnsi="Arial" w:cs="Arial"/>
        </w:rPr>
        <w:t xml:space="preserve">The household must meet all technical requirements for TCA eligibility (see 0300). </w:t>
      </w:r>
    </w:p>
    <w:p w14:paraId="3CF0E07E" w14:textId="77777777" w:rsidR="005D70D5" w:rsidRPr="00A83BAA" w:rsidRDefault="005D70D5" w:rsidP="006C074E">
      <w:pPr>
        <w:pStyle w:val="Normal1"/>
        <w:spacing w:line="276" w:lineRule="auto"/>
        <w:ind w:left="360" w:hanging="1080"/>
        <w:rPr>
          <w:rFonts w:ascii="Arial" w:hAnsi="Arial" w:cs="Arial"/>
        </w:rPr>
      </w:pPr>
    </w:p>
    <w:p w14:paraId="7FE1249A" w14:textId="77777777" w:rsidR="005D70D5" w:rsidRPr="00A83BAA" w:rsidRDefault="00E75269" w:rsidP="006C074E">
      <w:pPr>
        <w:pStyle w:val="Normal1"/>
        <w:numPr>
          <w:ilvl w:val="0"/>
          <w:numId w:val="7"/>
        </w:numPr>
        <w:spacing w:line="276" w:lineRule="auto"/>
        <w:ind w:left="1080"/>
        <w:rPr>
          <w:rFonts w:ascii="Arial" w:hAnsi="Arial" w:cs="Arial"/>
        </w:rPr>
      </w:pPr>
      <w:r w:rsidRPr="00A83BAA">
        <w:rPr>
          <w:rFonts w:ascii="Arial" w:hAnsi="Arial" w:cs="Arial"/>
        </w:rPr>
        <w:t xml:space="preserve">The household must have received TCA for at least two consecutive months prior to the TCA case closing. </w:t>
      </w:r>
    </w:p>
    <w:p w14:paraId="7B46182F" w14:textId="77777777" w:rsidR="005D70D5" w:rsidRPr="00A83BAA" w:rsidRDefault="005D70D5" w:rsidP="006C074E">
      <w:pPr>
        <w:pStyle w:val="Normal1"/>
        <w:pBdr>
          <w:top w:val="nil"/>
          <w:left w:val="nil"/>
          <w:bottom w:val="nil"/>
          <w:right w:val="nil"/>
          <w:between w:val="nil"/>
        </w:pBdr>
        <w:spacing w:line="276" w:lineRule="auto"/>
        <w:ind w:left="720" w:hanging="720"/>
        <w:rPr>
          <w:rFonts w:ascii="Arial" w:hAnsi="Arial" w:cs="Arial"/>
          <w:color w:val="000000"/>
        </w:rPr>
      </w:pPr>
    </w:p>
    <w:p w14:paraId="4B1AC72C" w14:textId="2727D559" w:rsidR="005D70D5" w:rsidRPr="00A83BAA" w:rsidRDefault="00E75269" w:rsidP="006C074E">
      <w:pPr>
        <w:pStyle w:val="Normal1"/>
        <w:numPr>
          <w:ilvl w:val="0"/>
          <w:numId w:val="7"/>
        </w:numPr>
        <w:spacing w:line="276" w:lineRule="auto"/>
        <w:ind w:left="1080"/>
        <w:rPr>
          <w:rFonts w:ascii="Arial" w:hAnsi="Arial" w:cs="Arial"/>
        </w:rPr>
      </w:pPr>
      <w:r w:rsidRPr="00A83BAA">
        <w:rPr>
          <w:rFonts w:ascii="Arial" w:hAnsi="Arial" w:cs="Arial"/>
        </w:rPr>
        <w:t>The household’s TCA case must have closed due to over-scale or gross over-scale income. At least a portion of the household’s income considered in the TCA eligibility determination must be earned income or self-employment income. Some of the income may be unearned income (</w:t>
      </w:r>
      <w:r w:rsidR="00396233" w:rsidRPr="00A83BAA">
        <w:rPr>
          <w:rFonts w:ascii="Arial" w:hAnsi="Arial" w:cs="Arial"/>
        </w:rPr>
        <w:t>e.g.,</w:t>
      </w:r>
      <w:r w:rsidRPr="00A83BAA">
        <w:rPr>
          <w:rFonts w:ascii="Arial" w:hAnsi="Arial" w:cs="Arial"/>
        </w:rPr>
        <w:t xml:space="preserve"> child support income, unemployment, etc.).  </w:t>
      </w:r>
    </w:p>
    <w:p w14:paraId="5D57C5D0" w14:textId="77777777" w:rsidR="005D70D5" w:rsidRPr="00A83BAA" w:rsidRDefault="005D70D5" w:rsidP="006C074E">
      <w:pPr>
        <w:pStyle w:val="Normal1"/>
        <w:spacing w:line="276" w:lineRule="auto"/>
        <w:ind w:hanging="1080"/>
        <w:rPr>
          <w:rFonts w:ascii="Arial" w:hAnsi="Arial" w:cs="Arial"/>
        </w:rPr>
      </w:pPr>
    </w:p>
    <w:p w14:paraId="0B4CACCF" w14:textId="77777777" w:rsidR="005D70D5" w:rsidRPr="00A83BAA" w:rsidRDefault="00E75269" w:rsidP="006C074E">
      <w:pPr>
        <w:pStyle w:val="Normal1"/>
        <w:numPr>
          <w:ilvl w:val="0"/>
          <w:numId w:val="7"/>
        </w:numPr>
        <w:spacing w:line="276" w:lineRule="auto"/>
        <w:ind w:left="1080"/>
        <w:rPr>
          <w:rFonts w:ascii="Arial" w:hAnsi="Arial" w:cs="Arial"/>
        </w:rPr>
      </w:pPr>
      <w:r w:rsidRPr="00A83BAA">
        <w:rPr>
          <w:rFonts w:ascii="Arial" w:hAnsi="Arial" w:cs="Arial"/>
        </w:rPr>
        <w:t xml:space="preserve">Sanctioned adults are not eligible for TSS. </w:t>
      </w:r>
    </w:p>
    <w:p w14:paraId="178E386D" w14:textId="77777777" w:rsidR="005D70D5" w:rsidRPr="00A83BAA" w:rsidRDefault="005D70D5" w:rsidP="006C074E">
      <w:pPr>
        <w:pStyle w:val="Normal1"/>
        <w:pBdr>
          <w:top w:val="nil"/>
          <w:left w:val="nil"/>
          <w:bottom w:val="nil"/>
          <w:right w:val="nil"/>
          <w:between w:val="nil"/>
        </w:pBdr>
        <w:spacing w:line="276" w:lineRule="auto"/>
        <w:ind w:left="720" w:hanging="720"/>
        <w:rPr>
          <w:rFonts w:ascii="Arial" w:hAnsi="Arial" w:cs="Arial"/>
          <w:color w:val="000000"/>
        </w:rPr>
      </w:pPr>
    </w:p>
    <w:p w14:paraId="46175C0E" w14:textId="77777777" w:rsidR="005D70D5" w:rsidRPr="00A83BAA" w:rsidRDefault="00E75269" w:rsidP="006C074E">
      <w:pPr>
        <w:pStyle w:val="Normal1"/>
        <w:numPr>
          <w:ilvl w:val="0"/>
          <w:numId w:val="7"/>
        </w:numPr>
        <w:spacing w:line="276" w:lineRule="auto"/>
        <w:ind w:left="1080"/>
        <w:rPr>
          <w:rFonts w:ascii="Arial" w:hAnsi="Arial" w:cs="Arial"/>
        </w:rPr>
      </w:pPr>
      <w:r w:rsidRPr="00A83BAA">
        <w:rPr>
          <w:rFonts w:ascii="Arial" w:hAnsi="Arial" w:cs="Arial"/>
        </w:rPr>
        <w:t xml:space="preserve">TCA disqualified individuals will not be considered as a part of the TSS household.  </w:t>
      </w:r>
    </w:p>
    <w:p w14:paraId="0933503E" w14:textId="77777777" w:rsidR="005D70D5" w:rsidRPr="00A83BAA" w:rsidRDefault="005D70D5" w:rsidP="006C074E">
      <w:pPr>
        <w:pStyle w:val="Normal1"/>
        <w:pBdr>
          <w:top w:val="nil"/>
          <w:left w:val="nil"/>
          <w:bottom w:val="nil"/>
          <w:right w:val="nil"/>
          <w:between w:val="nil"/>
        </w:pBdr>
        <w:spacing w:line="276" w:lineRule="auto"/>
        <w:ind w:left="720" w:hanging="720"/>
        <w:rPr>
          <w:rFonts w:ascii="Arial" w:hAnsi="Arial" w:cs="Arial"/>
          <w:color w:val="000000"/>
        </w:rPr>
      </w:pPr>
    </w:p>
    <w:p w14:paraId="109A151F" w14:textId="77777777" w:rsidR="005D70D5" w:rsidRPr="00A83BAA" w:rsidRDefault="00E75269" w:rsidP="006C074E">
      <w:pPr>
        <w:pStyle w:val="Normal1"/>
        <w:numPr>
          <w:ilvl w:val="0"/>
          <w:numId w:val="7"/>
        </w:numPr>
        <w:spacing w:line="276" w:lineRule="auto"/>
        <w:ind w:left="1080"/>
        <w:rPr>
          <w:rFonts w:ascii="Arial" w:hAnsi="Arial" w:cs="Arial"/>
        </w:rPr>
      </w:pPr>
      <w:r w:rsidRPr="00A83BAA">
        <w:rPr>
          <w:rFonts w:ascii="Arial" w:hAnsi="Arial" w:cs="Arial"/>
        </w:rPr>
        <w:t xml:space="preserve">Both needy and non-needy caretaker relative cases are ineligible for TSS. </w:t>
      </w:r>
    </w:p>
    <w:p w14:paraId="0228FB64" w14:textId="77777777" w:rsidR="005D70D5" w:rsidRPr="00A83BAA" w:rsidRDefault="005D70D5" w:rsidP="006C074E">
      <w:pPr>
        <w:pStyle w:val="Normal1"/>
        <w:spacing w:line="276" w:lineRule="auto"/>
        <w:rPr>
          <w:rFonts w:ascii="Arial" w:hAnsi="Arial" w:cs="Arial"/>
        </w:rPr>
      </w:pPr>
    </w:p>
    <w:p w14:paraId="7940D67C" w14:textId="77777777" w:rsidR="005D70D5" w:rsidRPr="00A83BAA" w:rsidRDefault="00E75269" w:rsidP="006C074E">
      <w:pPr>
        <w:pStyle w:val="Normal1"/>
        <w:spacing w:line="276" w:lineRule="auto"/>
        <w:rPr>
          <w:rFonts w:ascii="Arial" w:hAnsi="Arial" w:cs="Arial"/>
          <w:b/>
        </w:rPr>
      </w:pPr>
      <w:r w:rsidRPr="00A83BAA">
        <w:rPr>
          <w:rFonts w:ascii="Arial" w:hAnsi="Arial" w:cs="Arial"/>
          <w:b/>
        </w:rPr>
        <w:lastRenderedPageBreak/>
        <w:t xml:space="preserve">1311.3   TIME LIMIT </w:t>
      </w:r>
    </w:p>
    <w:p w14:paraId="477144DD" w14:textId="77777777" w:rsidR="005D70D5" w:rsidRPr="00A83BAA" w:rsidRDefault="005D70D5" w:rsidP="006C074E">
      <w:pPr>
        <w:pStyle w:val="Normal1"/>
        <w:spacing w:line="276" w:lineRule="auto"/>
        <w:ind w:left="735"/>
        <w:rPr>
          <w:rFonts w:ascii="Arial" w:hAnsi="Arial" w:cs="Arial"/>
          <w:b/>
        </w:rPr>
      </w:pPr>
    </w:p>
    <w:p w14:paraId="5F6BBFC1" w14:textId="77777777" w:rsidR="006C074E" w:rsidRDefault="00E75269" w:rsidP="006C074E">
      <w:pPr>
        <w:pStyle w:val="Normal1"/>
        <w:numPr>
          <w:ilvl w:val="0"/>
          <w:numId w:val="3"/>
        </w:numPr>
        <w:tabs>
          <w:tab w:val="left" w:pos="810"/>
          <w:tab w:val="left" w:pos="1440"/>
        </w:tabs>
        <w:spacing w:line="276" w:lineRule="auto"/>
        <w:rPr>
          <w:rFonts w:ascii="Arial" w:hAnsi="Arial" w:cs="Arial"/>
        </w:rPr>
      </w:pPr>
      <w:r w:rsidRPr="00A83BAA">
        <w:rPr>
          <w:rFonts w:ascii="Arial" w:hAnsi="Arial" w:cs="Arial"/>
        </w:rPr>
        <w:t xml:space="preserve">An eligible household receives TSS for a maximum of three consecutive months. </w:t>
      </w:r>
    </w:p>
    <w:p w14:paraId="43A8376A" w14:textId="77777777" w:rsidR="00A83BAA" w:rsidRPr="00A83BAA" w:rsidRDefault="00A83BAA" w:rsidP="00A83BAA">
      <w:pPr>
        <w:pStyle w:val="Normal1"/>
        <w:tabs>
          <w:tab w:val="left" w:pos="810"/>
          <w:tab w:val="left" w:pos="1440"/>
        </w:tabs>
        <w:spacing w:line="276" w:lineRule="auto"/>
        <w:ind w:left="720"/>
        <w:rPr>
          <w:rFonts w:ascii="Arial" w:hAnsi="Arial" w:cs="Arial"/>
        </w:rPr>
      </w:pPr>
    </w:p>
    <w:p w14:paraId="2762B15B" w14:textId="77777777" w:rsidR="006C074E" w:rsidRPr="00A83BAA" w:rsidRDefault="00E75269" w:rsidP="006C074E">
      <w:pPr>
        <w:pStyle w:val="Normal1"/>
        <w:numPr>
          <w:ilvl w:val="0"/>
          <w:numId w:val="3"/>
        </w:numPr>
        <w:tabs>
          <w:tab w:val="left" w:pos="810"/>
          <w:tab w:val="left" w:pos="1440"/>
        </w:tabs>
        <w:spacing w:line="276" w:lineRule="auto"/>
        <w:rPr>
          <w:rFonts w:ascii="Arial" w:hAnsi="Arial" w:cs="Arial"/>
        </w:rPr>
      </w:pPr>
      <w:r w:rsidRPr="00A83BAA">
        <w:rPr>
          <w:rFonts w:ascii="Arial" w:hAnsi="Arial" w:cs="Arial"/>
        </w:rPr>
        <w:t>While the certification period for TSS cannot exceed three months, there is no lifetime limit on the number of times a customer can receive</w:t>
      </w:r>
      <w:r w:rsidR="00A83BAA">
        <w:rPr>
          <w:rFonts w:ascii="Arial" w:hAnsi="Arial" w:cs="Arial"/>
        </w:rPr>
        <w:t xml:space="preserve"> TSS benefits</w:t>
      </w:r>
      <w:r w:rsidRPr="00A83BAA">
        <w:rPr>
          <w:rFonts w:ascii="Arial" w:hAnsi="Arial" w:cs="Arial"/>
        </w:rPr>
        <w:t>.</w:t>
      </w:r>
    </w:p>
    <w:p w14:paraId="103AAD5A" w14:textId="77777777" w:rsidR="006C074E" w:rsidRPr="00A83BAA" w:rsidRDefault="006C074E" w:rsidP="006C074E">
      <w:pPr>
        <w:pStyle w:val="ListParagraph"/>
        <w:spacing w:line="276" w:lineRule="auto"/>
        <w:rPr>
          <w:rFonts w:ascii="Arial" w:hAnsi="Arial" w:cs="Arial"/>
        </w:rPr>
      </w:pPr>
    </w:p>
    <w:p w14:paraId="36191F80" w14:textId="64D86E48" w:rsidR="006C074E" w:rsidRPr="00A83BAA" w:rsidRDefault="00E75269" w:rsidP="006C074E">
      <w:pPr>
        <w:pStyle w:val="Normal1"/>
        <w:numPr>
          <w:ilvl w:val="0"/>
          <w:numId w:val="3"/>
        </w:numPr>
        <w:tabs>
          <w:tab w:val="left" w:pos="810"/>
          <w:tab w:val="left" w:pos="1440"/>
        </w:tabs>
        <w:spacing w:line="276" w:lineRule="auto"/>
        <w:rPr>
          <w:rFonts w:ascii="Arial" w:hAnsi="Arial" w:cs="Arial"/>
        </w:rPr>
      </w:pPr>
      <w:r w:rsidRPr="00A83BAA">
        <w:rPr>
          <w:rFonts w:ascii="Arial" w:hAnsi="Arial" w:cs="Arial"/>
        </w:rPr>
        <w:t xml:space="preserve">Once TSS begins, a household will continue to receive the benefit for three consecutive months unless a member of the household dies. If the death of a member of the TSS household is confirmed, existing policy should be followed to correctly code the deceased person in </w:t>
      </w:r>
      <w:r w:rsidR="00996992">
        <w:rPr>
          <w:rFonts w:ascii="Arial" w:hAnsi="Arial" w:cs="Arial"/>
        </w:rPr>
        <w:t>E&amp;E</w:t>
      </w:r>
      <w:r w:rsidRPr="00A83BAA">
        <w:rPr>
          <w:rFonts w:ascii="Arial" w:hAnsi="Arial" w:cs="Arial"/>
        </w:rPr>
        <w:t>.</w:t>
      </w:r>
    </w:p>
    <w:p w14:paraId="7CDA481D" w14:textId="77777777" w:rsidR="006C074E" w:rsidRPr="00A83BAA" w:rsidRDefault="006C074E" w:rsidP="006C074E">
      <w:pPr>
        <w:pStyle w:val="ListParagraph"/>
        <w:spacing w:line="276" w:lineRule="auto"/>
        <w:rPr>
          <w:rFonts w:ascii="Arial" w:hAnsi="Arial" w:cs="Arial"/>
        </w:rPr>
      </w:pPr>
    </w:p>
    <w:p w14:paraId="5D0D7FD6" w14:textId="77777777" w:rsidR="005D70D5" w:rsidRPr="00A83BAA" w:rsidRDefault="00E75269" w:rsidP="006C074E">
      <w:pPr>
        <w:pStyle w:val="Normal1"/>
        <w:numPr>
          <w:ilvl w:val="0"/>
          <w:numId w:val="3"/>
        </w:numPr>
        <w:tabs>
          <w:tab w:val="left" w:pos="810"/>
          <w:tab w:val="left" w:pos="1440"/>
        </w:tabs>
        <w:spacing w:line="276" w:lineRule="auto"/>
        <w:rPr>
          <w:rFonts w:ascii="Arial" w:hAnsi="Arial" w:cs="Arial"/>
        </w:rPr>
      </w:pPr>
      <w:r w:rsidRPr="00A83BAA">
        <w:rPr>
          <w:rFonts w:ascii="Arial" w:hAnsi="Arial" w:cs="Arial"/>
        </w:rPr>
        <w:t xml:space="preserve"> Once the household’s TSS ends, the household must do the following in order to be eligible for TSS again:</w:t>
      </w:r>
    </w:p>
    <w:p w14:paraId="69EE25F5" w14:textId="77777777" w:rsidR="005D70D5" w:rsidRPr="00A83BAA" w:rsidRDefault="005D70D5" w:rsidP="006C074E">
      <w:pPr>
        <w:pStyle w:val="Normal1"/>
        <w:pBdr>
          <w:top w:val="nil"/>
          <w:left w:val="nil"/>
          <w:bottom w:val="nil"/>
          <w:right w:val="nil"/>
          <w:between w:val="nil"/>
        </w:pBdr>
        <w:spacing w:line="276" w:lineRule="auto"/>
        <w:ind w:left="720" w:hanging="720"/>
        <w:rPr>
          <w:rFonts w:ascii="Arial" w:hAnsi="Arial" w:cs="Arial"/>
          <w:color w:val="000000"/>
        </w:rPr>
      </w:pPr>
    </w:p>
    <w:p w14:paraId="70331373" w14:textId="77777777" w:rsidR="005D70D5" w:rsidRPr="00A83BAA" w:rsidRDefault="00E75269" w:rsidP="006C074E">
      <w:pPr>
        <w:pStyle w:val="Normal1"/>
        <w:numPr>
          <w:ilvl w:val="0"/>
          <w:numId w:val="6"/>
        </w:numPr>
        <w:tabs>
          <w:tab w:val="left" w:pos="810"/>
          <w:tab w:val="left" w:pos="1440"/>
        </w:tabs>
        <w:spacing w:line="276" w:lineRule="auto"/>
        <w:rPr>
          <w:rFonts w:ascii="Arial" w:hAnsi="Arial" w:cs="Arial"/>
        </w:rPr>
      </w:pPr>
      <w:r w:rsidRPr="00A83BAA">
        <w:rPr>
          <w:rFonts w:ascii="Arial" w:hAnsi="Arial" w:cs="Arial"/>
        </w:rPr>
        <w:t xml:space="preserve">Reapply for TCA; </w:t>
      </w:r>
    </w:p>
    <w:p w14:paraId="727E0EBF" w14:textId="77777777" w:rsidR="005D70D5" w:rsidRPr="00A83BAA" w:rsidRDefault="00E75269" w:rsidP="006C074E">
      <w:pPr>
        <w:pStyle w:val="Normal1"/>
        <w:numPr>
          <w:ilvl w:val="0"/>
          <w:numId w:val="6"/>
        </w:numPr>
        <w:tabs>
          <w:tab w:val="left" w:pos="810"/>
          <w:tab w:val="left" w:pos="1440"/>
        </w:tabs>
        <w:spacing w:line="276" w:lineRule="auto"/>
        <w:rPr>
          <w:rFonts w:ascii="Arial" w:hAnsi="Arial" w:cs="Arial"/>
        </w:rPr>
      </w:pPr>
      <w:r w:rsidRPr="00A83BAA">
        <w:rPr>
          <w:rFonts w:ascii="Arial" w:hAnsi="Arial" w:cs="Arial"/>
        </w:rPr>
        <w:t>Be approved for TCA;</w:t>
      </w:r>
    </w:p>
    <w:p w14:paraId="6908ABD9" w14:textId="77777777" w:rsidR="005D70D5" w:rsidRPr="00A83BAA" w:rsidRDefault="00E75269" w:rsidP="006C074E">
      <w:pPr>
        <w:pStyle w:val="Normal1"/>
        <w:numPr>
          <w:ilvl w:val="0"/>
          <w:numId w:val="6"/>
        </w:numPr>
        <w:tabs>
          <w:tab w:val="left" w:pos="810"/>
          <w:tab w:val="left" w:pos="1440"/>
        </w:tabs>
        <w:spacing w:line="276" w:lineRule="auto"/>
        <w:rPr>
          <w:rFonts w:ascii="Arial" w:hAnsi="Arial" w:cs="Arial"/>
        </w:rPr>
      </w:pPr>
      <w:r w:rsidRPr="00A83BAA">
        <w:rPr>
          <w:rFonts w:ascii="Arial" w:hAnsi="Arial" w:cs="Arial"/>
        </w:rPr>
        <w:t>Receive TCA for two consecutive months; and</w:t>
      </w:r>
    </w:p>
    <w:p w14:paraId="0CB5846B" w14:textId="77777777" w:rsidR="005D70D5" w:rsidRPr="00A83BAA" w:rsidRDefault="00E75269" w:rsidP="006C074E">
      <w:pPr>
        <w:pStyle w:val="Normal1"/>
        <w:numPr>
          <w:ilvl w:val="0"/>
          <w:numId w:val="6"/>
        </w:numPr>
        <w:tabs>
          <w:tab w:val="left" w:pos="810"/>
          <w:tab w:val="left" w:pos="1440"/>
        </w:tabs>
        <w:spacing w:line="276" w:lineRule="auto"/>
        <w:rPr>
          <w:rFonts w:ascii="Arial" w:hAnsi="Arial" w:cs="Arial"/>
        </w:rPr>
      </w:pPr>
      <w:r w:rsidRPr="00A83BAA">
        <w:rPr>
          <w:rFonts w:ascii="Arial" w:hAnsi="Arial" w:cs="Arial"/>
        </w:rPr>
        <w:t xml:space="preserve">Become ineligible for TCA due to income, a portion of which much be earned income or self-employed income. </w:t>
      </w:r>
    </w:p>
    <w:p w14:paraId="2AA5B585" w14:textId="77777777" w:rsidR="005D70D5" w:rsidRPr="00A83BAA" w:rsidRDefault="005D70D5" w:rsidP="006C074E">
      <w:pPr>
        <w:pStyle w:val="Normal1"/>
        <w:tabs>
          <w:tab w:val="left" w:pos="810"/>
          <w:tab w:val="left" w:pos="1440"/>
        </w:tabs>
        <w:spacing w:line="276" w:lineRule="auto"/>
        <w:ind w:left="1440"/>
        <w:rPr>
          <w:rFonts w:ascii="Arial" w:hAnsi="Arial" w:cs="Arial"/>
        </w:rPr>
      </w:pPr>
    </w:p>
    <w:p w14:paraId="32316F15" w14:textId="645CFFCA" w:rsidR="005D70D5" w:rsidRPr="00A83BAA" w:rsidRDefault="00E75269" w:rsidP="006C074E">
      <w:pPr>
        <w:pStyle w:val="Normal1"/>
        <w:numPr>
          <w:ilvl w:val="0"/>
          <w:numId w:val="3"/>
        </w:numPr>
        <w:tabs>
          <w:tab w:val="left" w:pos="810"/>
          <w:tab w:val="left" w:pos="1440"/>
        </w:tabs>
        <w:spacing w:line="276" w:lineRule="auto"/>
        <w:rPr>
          <w:rFonts w:ascii="Arial" w:hAnsi="Arial" w:cs="Arial"/>
        </w:rPr>
      </w:pPr>
      <w:r w:rsidRPr="00A83BAA">
        <w:rPr>
          <w:rFonts w:ascii="Arial" w:hAnsi="Arial" w:cs="Arial"/>
        </w:rPr>
        <w:t xml:space="preserve">TSS is not TCA. </w:t>
      </w:r>
      <w:r w:rsidR="00396233" w:rsidRPr="00A83BAA">
        <w:rPr>
          <w:rFonts w:ascii="Arial" w:hAnsi="Arial" w:cs="Arial"/>
        </w:rPr>
        <w:t>Therefore,</w:t>
      </w:r>
      <w:r w:rsidRPr="00A83BAA">
        <w:rPr>
          <w:rFonts w:ascii="Arial" w:hAnsi="Arial" w:cs="Arial"/>
        </w:rPr>
        <w:t xml:space="preserve"> any months of TSS do not count toward the 60-month TCA time limit. </w:t>
      </w:r>
    </w:p>
    <w:p w14:paraId="2D7F4236" w14:textId="77777777" w:rsidR="00E75269" w:rsidRPr="00A83BAA" w:rsidRDefault="00E75269" w:rsidP="00E75269">
      <w:pPr>
        <w:pStyle w:val="Normal1"/>
        <w:tabs>
          <w:tab w:val="left" w:pos="810"/>
          <w:tab w:val="left" w:pos="1440"/>
        </w:tabs>
        <w:spacing w:line="276" w:lineRule="auto"/>
        <w:ind w:left="720"/>
        <w:rPr>
          <w:rFonts w:ascii="Arial" w:hAnsi="Arial" w:cs="Arial"/>
        </w:rPr>
      </w:pPr>
    </w:p>
    <w:p w14:paraId="061BD355" w14:textId="77777777" w:rsidR="00E75269" w:rsidRPr="00A83BAA" w:rsidRDefault="00E75269" w:rsidP="006C074E">
      <w:pPr>
        <w:pStyle w:val="Normal1"/>
        <w:numPr>
          <w:ilvl w:val="0"/>
          <w:numId w:val="3"/>
        </w:numPr>
        <w:tabs>
          <w:tab w:val="left" w:pos="810"/>
          <w:tab w:val="left" w:pos="1440"/>
        </w:tabs>
        <w:spacing w:line="276" w:lineRule="auto"/>
        <w:rPr>
          <w:rFonts w:ascii="Arial" w:hAnsi="Arial" w:cs="Arial"/>
        </w:rPr>
      </w:pPr>
      <w:r w:rsidRPr="00A83BAA">
        <w:rPr>
          <w:rFonts w:ascii="Arial" w:hAnsi="Arial" w:cs="Arial"/>
        </w:rPr>
        <w:t>Breaking the three-month TSS benefit period.</w:t>
      </w:r>
    </w:p>
    <w:p w14:paraId="748722D1" w14:textId="77777777" w:rsidR="00E75269" w:rsidRPr="00A83BAA" w:rsidRDefault="00E75269" w:rsidP="00E75269">
      <w:pPr>
        <w:pStyle w:val="ListParagraph"/>
        <w:rPr>
          <w:rFonts w:ascii="Arial" w:hAnsi="Arial" w:cs="Arial"/>
        </w:rPr>
      </w:pPr>
    </w:p>
    <w:p w14:paraId="7F4F9BF1" w14:textId="1A8C093F" w:rsidR="00E75269" w:rsidRPr="00A83BAA" w:rsidRDefault="00E75269" w:rsidP="00E75269">
      <w:pPr>
        <w:pStyle w:val="Normal1"/>
        <w:tabs>
          <w:tab w:val="left" w:pos="810"/>
          <w:tab w:val="left" w:pos="1440"/>
        </w:tabs>
        <w:spacing w:line="276" w:lineRule="auto"/>
        <w:ind w:left="720"/>
        <w:rPr>
          <w:rFonts w:ascii="Arial" w:hAnsi="Arial" w:cs="Arial"/>
        </w:rPr>
      </w:pPr>
      <w:r w:rsidRPr="00A83BAA">
        <w:rPr>
          <w:rFonts w:ascii="Arial" w:hAnsi="Arial" w:cs="Arial"/>
        </w:rPr>
        <w:t xml:space="preserve">TSS benefits will only end before the </w:t>
      </w:r>
      <w:r w:rsidR="00396233" w:rsidRPr="00A83BAA">
        <w:rPr>
          <w:rFonts w:ascii="Arial" w:hAnsi="Arial" w:cs="Arial"/>
        </w:rPr>
        <w:t>three-month</w:t>
      </w:r>
      <w:r w:rsidRPr="00A83BAA">
        <w:rPr>
          <w:rFonts w:ascii="Arial" w:hAnsi="Arial" w:cs="Arial"/>
        </w:rPr>
        <w:t xml:space="preserve"> period if:</w:t>
      </w:r>
    </w:p>
    <w:p w14:paraId="2C1E5BAC" w14:textId="77777777" w:rsidR="00E75269" w:rsidRPr="00A83BAA" w:rsidRDefault="00E75269" w:rsidP="00E75269">
      <w:pPr>
        <w:pStyle w:val="Normal1"/>
        <w:numPr>
          <w:ilvl w:val="1"/>
          <w:numId w:val="10"/>
        </w:numPr>
        <w:tabs>
          <w:tab w:val="left" w:pos="810"/>
          <w:tab w:val="left" w:pos="1440"/>
        </w:tabs>
        <w:spacing w:line="276" w:lineRule="auto"/>
        <w:rPr>
          <w:rFonts w:ascii="Arial" w:hAnsi="Arial" w:cs="Arial"/>
        </w:rPr>
      </w:pPr>
      <w:r w:rsidRPr="00A83BAA">
        <w:rPr>
          <w:rFonts w:ascii="Arial" w:hAnsi="Arial" w:cs="Arial"/>
        </w:rPr>
        <w:t>The household is approved for TCA; or</w:t>
      </w:r>
    </w:p>
    <w:p w14:paraId="23AF9759" w14:textId="77777777" w:rsidR="00E75269" w:rsidRDefault="00E75269" w:rsidP="00E75269">
      <w:pPr>
        <w:pStyle w:val="Normal1"/>
        <w:numPr>
          <w:ilvl w:val="1"/>
          <w:numId w:val="10"/>
        </w:numPr>
        <w:tabs>
          <w:tab w:val="left" w:pos="810"/>
          <w:tab w:val="left" w:pos="1440"/>
        </w:tabs>
        <w:spacing w:line="276" w:lineRule="auto"/>
        <w:rPr>
          <w:rFonts w:ascii="Arial" w:hAnsi="Arial" w:cs="Arial"/>
        </w:rPr>
      </w:pPr>
      <w:r w:rsidRPr="00A83BAA">
        <w:rPr>
          <w:rFonts w:ascii="Arial" w:hAnsi="Arial" w:cs="Arial"/>
        </w:rPr>
        <w:t>A member of the household dies (If the death of a member of the TSS household is confirmed, existing policy should be followed to correctly code the deceased person in the eligibility system)</w:t>
      </w:r>
    </w:p>
    <w:p w14:paraId="224DFE36" w14:textId="77777777" w:rsidR="00A83BAA" w:rsidRDefault="00A83BAA" w:rsidP="00A83BAA">
      <w:pPr>
        <w:pStyle w:val="Normal1"/>
        <w:tabs>
          <w:tab w:val="left" w:pos="810"/>
          <w:tab w:val="left" w:pos="1440"/>
        </w:tabs>
        <w:spacing w:line="276" w:lineRule="auto"/>
        <w:rPr>
          <w:rFonts w:ascii="Arial" w:hAnsi="Arial" w:cs="Arial"/>
        </w:rPr>
      </w:pPr>
    </w:p>
    <w:p w14:paraId="251E1F08" w14:textId="77777777" w:rsidR="00A83BAA" w:rsidRDefault="00A83BAA" w:rsidP="00A83BAA">
      <w:pPr>
        <w:pStyle w:val="Normal1"/>
        <w:tabs>
          <w:tab w:val="left" w:pos="810"/>
          <w:tab w:val="left" w:pos="1440"/>
        </w:tabs>
        <w:spacing w:line="276" w:lineRule="auto"/>
        <w:rPr>
          <w:rFonts w:ascii="Arial" w:hAnsi="Arial" w:cs="Arial"/>
        </w:rPr>
      </w:pPr>
    </w:p>
    <w:p w14:paraId="0F993F57" w14:textId="77777777" w:rsidR="00A83BAA" w:rsidRPr="00A83BAA" w:rsidRDefault="00A83BAA" w:rsidP="00A83BAA">
      <w:pPr>
        <w:pStyle w:val="Normal1"/>
        <w:tabs>
          <w:tab w:val="left" w:pos="810"/>
          <w:tab w:val="left" w:pos="1440"/>
        </w:tabs>
        <w:spacing w:line="276" w:lineRule="auto"/>
        <w:rPr>
          <w:rFonts w:ascii="Arial" w:hAnsi="Arial" w:cs="Arial"/>
        </w:rPr>
      </w:pPr>
    </w:p>
    <w:p w14:paraId="051FA063" w14:textId="77777777" w:rsidR="005D70D5" w:rsidRPr="00A83BAA" w:rsidRDefault="005D70D5" w:rsidP="006C074E">
      <w:pPr>
        <w:pStyle w:val="Normal1"/>
        <w:spacing w:line="276" w:lineRule="auto"/>
        <w:ind w:left="735"/>
        <w:rPr>
          <w:rFonts w:ascii="Arial" w:hAnsi="Arial" w:cs="Arial"/>
          <w:b/>
        </w:rPr>
      </w:pPr>
    </w:p>
    <w:p w14:paraId="295896C9" w14:textId="77777777" w:rsidR="005D70D5" w:rsidRPr="00A83BAA" w:rsidRDefault="00E75269" w:rsidP="006C074E">
      <w:pPr>
        <w:pStyle w:val="Normal1"/>
        <w:spacing w:line="276" w:lineRule="auto"/>
        <w:rPr>
          <w:rFonts w:ascii="Arial" w:hAnsi="Arial" w:cs="Arial"/>
          <w:b/>
        </w:rPr>
      </w:pPr>
      <w:r w:rsidRPr="00A83BAA">
        <w:rPr>
          <w:rFonts w:ascii="Arial" w:hAnsi="Arial" w:cs="Arial"/>
          <w:b/>
        </w:rPr>
        <w:lastRenderedPageBreak/>
        <w:t>1311.4   PAYMENT LEVEL</w:t>
      </w:r>
    </w:p>
    <w:p w14:paraId="469D65ED" w14:textId="77777777" w:rsidR="005D70D5" w:rsidRPr="00A83BAA" w:rsidRDefault="005D70D5" w:rsidP="006C074E">
      <w:pPr>
        <w:pStyle w:val="Normal1"/>
        <w:spacing w:line="276" w:lineRule="auto"/>
        <w:rPr>
          <w:rFonts w:ascii="Arial" w:hAnsi="Arial" w:cs="Arial"/>
        </w:rPr>
      </w:pPr>
    </w:p>
    <w:p w14:paraId="1F5C04D3" w14:textId="77777777" w:rsidR="005D70D5" w:rsidRPr="00A83BAA" w:rsidRDefault="00E75269" w:rsidP="006C074E">
      <w:pPr>
        <w:pStyle w:val="Heading3"/>
        <w:spacing w:line="276" w:lineRule="auto"/>
        <w:ind w:left="0" w:firstLine="0"/>
        <w:rPr>
          <w:rFonts w:eastAsia="Times New Roman"/>
        </w:rPr>
      </w:pPr>
      <w:r w:rsidRPr="00A83BAA">
        <w:rPr>
          <w:rFonts w:eastAsia="Times New Roman"/>
          <w:b w:val="0"/>
        </w:rPr>
        <w:t xml:space="preserve">The benefit level of the TSS shall be consistent with the last TCA amount received by the household (not including the correction of an underpayment or overpayment). </w:t>
      </w:r>
    </w:p>
    <w:p w14:paraId="2831D052" w14:textId="77777777" w:rsidR="005D70D5" w:rsidRPr="00A83BAA" w:rsidRDefault="005D70D5" w:rsidP="006C074E">
      <w:pPr>
        <w:pStyle w:val="Normal1"/>
        <w:tabs>
          <w:tab w:val="left" w:pos="810"/>
          <w:tab w:val="left" w:pos="1440"/>
        </w:tabs>
        <w:spacing w:line="276" w:lineRule="auto"/>
        <w:rPr>
          <w:rFonts w:ascii="Arial" w:hAnsi="Arial" w:cs="Arial"/>
        </w:rPr>
      </w:pPr>
    </w:p>
    <w:p w14:paraId="1A11A013" w14:textId="77777777" w:rsidR="005D70D5" w:rsidRPr="00A83BAA" w:rsidRDefault="00E75269" w:rsidP="006C074E">
      <w:pPr>
        <w:pStyle w:val="Normal1"/>
        <w:spacing w:line="276" w:lineRule="auto"/>
        <w:rPr>
          <w:rFonts w:ascii="Arial" w:hAnsi="Arial" w:cs="Arial"/>
          <w:b/>
        </w:rPr>
      </w:pPr>
      <w:r w:rsidRPr="00A83BAA">
        <w:rPr>
          <w:rFonts w:ascii="Arial" w:hAnsi="Arial" w:cs="Arial"/>
          <w:b/>
        </w:rPr>
        <w:t>1311.5   IMPACT ON SNAP BENEFITS</w:t>
      </w:r>
    </w:p>
    <w:p w14:paraId="3136BAEA" w14:textId="77777777" w:rsidR="005D70D5" w:rsidRPr="00A83BAA" w:rsidRDefault="005D70D5" w:rsidP="006C074E">
      <w:pPr>
        <w:pStyle w:val="Normal1"/>
        <w:spacing w:line="276" w:lineRule="auto"/>
        <w:rPr>
          <w:rFonts w:ascii="Arial" w:hAnsi="Arial" w:cs="Arial"/>
          <w:b/>
        </w:rPr>
      </w:pPr>
    </w:p>
    <w:p w14:paraId="1BAD7DD3" w14:textId="77777777" w:rsidR="005D70D5" w:rsidRPr="00A83BAA" w:rsidRDefault="00E75269" w:rsidP="006C074E">
      <w:pPr>
        <w:pStyle w:val="Normal1"/>
        <w:spacing w:line="276" w:lineRule="auto"/>
        <w:rPr>
          <w:rFonts w:ascii="Arial" w:hAnsi="Arial" w:cs="Arial"/>
        </w:rPr>
      </w:pPr>
      <w:r w:rsidRPr="00A83BAA">
        <w:rPr>
          <w:rFonts w:ascii="Arial" w:hAnsi="Arial" w:cs="Arial"/>
        </w:rPr>
        <w:t xml:space="preserve">Households who are eligible for TSS will also be eligible for transitional SNAP benefits. Transitional SNAP benefits will begin at the same time as the TSS. The policy for calculation of transitional SNAP benefits will not change. See </w:t>
      </w:r>
      <w:r w:rsidR="002C626A" w:rsidRPr="00A83BAA">
        <w:rPr>
          <w:rFonts w:ascii="Arial" w:hAnsi="Arial" w:cs="Arial"/>
        </w:rPr>
        <w:t xml:space="preserve">SNAP Manual Section </w:t>
      </w:r>
      <w:r w:rsidRPr="00A83BAA">
        <w:rPr>
          <w:rFonts w:ascii="Arial" w:hAnsi="Arial" w:cs="Arial"/>
        </w:rPr>
        <w:t xml:space="preserve">420.12 for more information. </w:t>
      </w:r>
    </w:p>
    <w:p w14:paraId="69C0C0D2" w14:textId="77777777" w:rsidR="005D70D5" w:rsidRPr="00A83BAA" w:rsidRDefault="005D70D5" w:rsidP="006C074E">
      <w:pPr>
        <w:pStyle w:val="Normal1"/>
        <w:spacing w:line="276" w:lineRule="auto"/>
        <w:rPr>
          <w:rFonts w:ascii="Arial" w:hAnsi="Arial" w:cs="Arial"/>
          <w:b/>
        </w:rPr>
      </w:pPr>
    </w:p>
    <w:p w14:paraId="22B228D5" w14:textId="77777777" w:rsidR="006C074E" w:rsidRPr="00A83BAA" w:rsidRDefault="00E75269" w:rsidP="00A83BAA">
      <w:pPr>
        <w:pStyle w:val="Normal1"/>
        <w:numPr>
          <w:ilvl w:val="0"/>
          <w:numId w:val="8"/>
        </w:numPr>
        <w:spacing w:line="276" w:lineRule="auto"/>
        <w:rPr>
          <w:rFonts w:ascii="Arial" w:hAnsi="Arial" w:cs="Arial"/>
          <w:b/>
        </w:rPr>
      </w:pPr>
      <w:r w:rsidRPr="00A83BAA">
        <w:rPr>
          <w:rFonts w:ascii="Arial" w:hAnsi="Arial" w:cs="Arial"/>
          <w:b/>
        </w:rPr>
        <w:t xml:space="preserve">  REAPPLICATION FOR TCA</w:t>
      </w:r>
    </w:p>
    <w:p w14:paraId="27D5467A" w14:textId="77777777" w:rsidR="006C074E" w:rsidRPr="00A83BAA" w:rsidRDefault="006C074E" w:rsidP="006C074E">
      <w:pPr>
        <w:pStyle w:val="Normal1"/>
        <w:spacing w:line="276" w:lineRule="auto"/>
        <w:ind w:left="660"/>
        <w:rPr>
          <w:rFonts w:ascii="Arial" w:hAnsi="Arial" w:cs="Arial"/>
          <w:b/>
        </w:rPr>
      </w:pPr>
    </w:p>
    <w:p w14:paraId="3BFD7AA8" w14:textId="53958927" w:rsidR="006C074E" w:rsidRPr="00A83BAA" w:rsidRDefault="00E75269" w:rsidP="006C074E">
      <w:pPr>
        <w:pStyle w:val="Heading3"/>
        <w:numPr>
          <w:ilvl w:val="0"/>
          <w:numId w:val="9"/>
        </w:numPr>
        <w:tabs>
          <w:tab w:val="left" w:pos="810"/>
          <w:tab w:val="left" w:pos="1440"/>
        </w:tabs>
        <w:rPr>
          <w:rFonts w:eastAsia="Times New Roman"/>
        </w:rPr>
      </w:pPr>
      <w:r w:rsidRPr="00A83BAA">
        <w:rPr>
          <w:rFonts w:eastAsia="Times New Roman"/>
          <w:b w:val="0"/>
        </w:rPr>
        <w:t xml:space="preserve">A household is entitled to apply for TCA at any time. When a household applies for TCA, the case manager must run the clearance to ensure that no member of the household is currently receiving TSS. This can be done by viewing the Benefit </w:t>
      </w:r>
      <w:r w:rsidR="00396233">
        <w:rPr>
          <w:rFonts w:eastAsia="Times New Roman"/>
          <w:b w:val="0"/>
        </w:rPr>
        <w:t xml:space="preserve">Issuance </w:t>
      </w:r>
      <w:r w:rsidRPr="00A83BAA">
        <w:rPr>
          <w:rFonts w:eastAsia="Times New Roman"/>
          <w:b w:val="0"/>
        </w:rPr>
        <w:t>screen</w:t>
      </w:r>
      <w:r w:rsidR="00396233">
        <w:rPr>
          <w:rFonts w:eastAsia="Times New Roman"/>
          <w:b w:val="0"/>
        </w:rPr>
        <w:t xml:space="preserve"> in E&amp;E</w:t>
      </w:r>
      <w:r w:rsidRPr="00A83BAA">
        <w:rPr>
          <w:rFonts w:eastAsia="Times New Roman"/>
          <w:b w:val="0"/>
        </w:rPr>
        <w:t xml:space="preserve">.  The LDSS can then determine if future TSS payments are due to the household based on the number of consecutive TSS payments previously received.  </w:t>
      </w:r>
    </w:p>
    <w:p w14:paraId="06574BB0" w14:textId="77777777" w:rsidR="006C074E" w:rsidRPr="00A83BAA" w:rsidRDefault="006C074E" w:rsidP="006C074E">
      <w:pPr>
        <w:pStyle w:val="Heading3"/>
        <w:tabs>
          <w:tab w:val="left" w:pos="810"/>
          <w:tab w:val="left" w:pos="1440"/>
        </w:tabs>
        <w:ind w:left="720" w:firstLine="0"/>
        <w:rPr>
          <w:rFonts w:eastAsia="Times New Roman"/>
        </w:rPr>
      </w:pPr>
    </w:p>
    <w:p w14:paraId="5DFF4B72" w14:textId="3359F688" w:rsidR="005D70D5" w:rsidRPr="00A83BAA" w:rsidRDefault="00E75269" w:rsidP="006C074E">
      <w:pPr>
        <w:pStyle w:val="Heading3"/>
        <w:tabs>
          <w:tab w:val="left" w:pos="810"/>
          <w:tab w:val="left" w:pos="1440"/>
        </w:tabs>
        <w:ind w:left="720" w:firstLine="0"/>
        <w:rPr>
          <w:rFonts w:eastAsia="Times New Roman"/>
          <w:b w:val="0"/>
        </w:rPr>
      </w:pPr>
      <w:r w:rsidRPr="00A83BAA">
        <w:rPr>
          <w:b w:val="0"/>
        </w:rPr>
        <w:t>If a household member was active on another TCA assistance uni</w:t>
      </w:r>
      <w:r w:rsidR="006C074E" w:rsidRPr="00A83BAA">
        <w:rPr>
          <w:b w:val="0"/>
        </w:rPr>
        <w:t xml:space="preserve">t (AU) within the past four </w:t>
      </w:r>
      <w:r w:rsidR="00396233" w:rsidRPr="00A83BAA">
        <w:rPr>
          <w:b w:val="0"/>
        </w:rPr>
        <w:t>months,</w:t>
      </w:r>
      <w:r w:rsidRPr="00A83BAA">
        <w:rPr>
          <w:b w:val="0"/>
        </w:rPr>
        <w:t xml:space="preserve"> it is important to check that </w:t>
      </w:r>
      <w:r w:rsidR="00396233">
        <w:rPr>
          <w:b w:val="0"/>
        </w:rPr>
        <w:t>case id number</w:t>
      </w:r>
      <w:r w:rsidRPr="00A83BAA">
        <w:rPr>
          <w:b w:val="0"/>
        </w:rPr>
        <w:t xml:space="preserve"> for potential TSS benefits as well. </w:t>
      </w:r>
    </w:p>
    <w:p w14:paraId="25FE2A35" w14:textId="77777777" w:rsidR="005D70D5" w:rsidRPr="00A83BAA" w:rsidRDefault="005D70D5">
      <w:pPr>
        <w:pStyle w:val="Normal1"/>
        <w:rPr>
          <w:rFonts w:ascii="Arial" w:hAnsi="Arial" w:cs="Arial"/>
        </w:rPr>
      </w:pPr>
    </w:p>
    <w:p w14:paraId="22A60C45" w14:textId="77777777" w:rsidR="005D70D5" w:rsidRPr="00A83BAA" w:rsidRDefault="00E75269" w:rsidP="006C074E">
      <w:pPr>
        <w:pStyle w:val="Heading3"/>
        <w:numPr>
          <w:ilvl w:val="0"/>
          <w:numId w:val="9"/>
        </w:numPr>
        <w:rPr>
          <w:rFonts w:eastAsia="Times New Roman"/>
        </w:rPr>
      </w:pPr>
      <w:r w:rsidRPr="00A83BAA">
        <w:rPr>
          <w:rFonts w:eastAsia="Times New Roman"/>
          <w:b w:val="0"/>
        </w:rPr>
        <w:t>If the entire household is currently receiving TSS, the household is ineligible for TCA.</w:t>
      </w:r>
    </w:p>
    <w:p w14:paraId="573184D0" w14:textId="77777777" w:rsidR="005D70D5" w:rsidRPr="00A83BAA" w:rsidRDefault="005D70D5">
      <w:pPr>
        <w:pStyle w:val="Heading3"/>
        <w:rPr>
          <w:rFonts w:eastAsia="Times New Roman"/>
          <w:b w:val="0"/>
        </w:rPr>
      </w:pPr>
    </w:p>
    <w:p w14:paraId="21C0FFEC" w14:textId="77777777" w:rsidR="005D70D5" w:rsidRPr="00A83BAA" w:rsidRDefault="005D70D5">
      <w:pPr>
        <w:pStyle w:val="Normal1"/>
        <w:tabs>
          <w:tab w:val="left" w:pos="810"/>
          <w:tab w:val="left" w:pos="1440"/>
        </w:tabs>
        <w:ind w:left="360"/>
        <w:rPr>
          <w:rFonts w:ascii="Arial" w:hAnsi="Arial" w:cs="Arial"/>
          <w:b/>
        </w:rPr>
      </w:pPr>
    </w:p>
    <w:sectPr w:rsidR="005D70D5" w:rsidRPr="00A83BAA" w:rsidSect="005D70D5">
      <w:headerReference w:type="default" r:id="rId7"/>
      <w:footerReference w:type="default" r:id="rId8"/>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B81B4" w14:textId="77777777" w:rsidR="00D85599" w:rsidRDefault="00D85599" w:rsidP="005D70D5">
      <w:r>
        <w:separator/>
      </w:r>
    </w:p>
  </w:endnote>
  <w:endnote w:type="continuationSeparator" w:id="0">
    <w:p w14:paraId="24CA90AA" w14:textId="77777777" w:rsidR="00D85599" w:rsidRDefault="00D85599" w:rsidP="005D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5CFA" w14:textId="77777777" w:rsidR="00E75269" w:rsidRDefault="00E75269">
    <w:pPr>
      <w:pStyle w:val="Normal1"/>
      <w:widowControl w:val="0"/>
      <w:pBdr>
        <w:top w:val="nil"/>
        <w:left w:val="nil"/>
        <w:bottom w:val="nil"/>
        <w:right w:val="nil"/>
        <w:between w:val="nil"/>
      </w:pBdr>
      <w:spacing w:line="276" w:lineRule="auto"/>
      <w:rPr>
        <w:rFonts w:ascii="Arial" w:eastAsia="Arial" w:hAnsi="Arial" w:cs="Arial"/>
        <w:color w:val="000000"/>
      </w:rPr>
    </w:pPr>
  </w:p>
  <w:tbl>
    <w:tblPr>
      <w:tblStyle w:val="a0"/>
      <w:tblW w:w="1080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5580"/>
    </w:tblGrid>
    <w:tr w:rsidR="00E75269" w14:paraId="373DAF11" w14:textId="77777777">
      <w:tc>
        <w:tcPr>
          <w:tcW w:w="5220" w:type="dxa"/>
          <w:tcMar>
            <w:top w:w="0" w:type="dxa"/>
            <w:bottom w:w="0" w:type="dxa"/>
          </w:tcMar>
          <w:vAlign w:val="center"/>
        </w:tcPr>
        <w:p w14:paraId="4468BF0F" w14:textId="654EDF9E" w:rsidR="00E75269" w:rsidRDefault="00561D05">
          <w:pPr>
            <w:pStyle w:val="Normal1"/>
            <w:rPr>
              <w:rFonts w:ascii="Arial" w:eastAsia="Arial" w:hAnsi="Arial" w:cs="Arial"/>
              <w:sz w:val="20"/>
              <w:szCs w:val="20"/>
            </w:rPr>
          </w:pPr>
          <w:r>
            <w:rPr>
              <w:rFonts w:ascii="Arial" w:eastAsia="Arial" w:hAnsi="Arial" w:cs="Arial"/>
              <w:sz w:val="20"/>
              <w:szCs w:val="20"/>
            </w:rPr>
            <w:t xml:space="preserve">REVISED </w:t>
          </w:r>
          <w:r w:rsidR="002C7A9D">
            <w:rPr>
              <w:rFonts w:ascii="Arial" w:eastAsia="Arial" w:hAnsi="Arial" w:cs="Arial"/>
              <w:sz w:val="20"/>
              <w:szCs w:val="20"/>
            </w:rPr>
            <w:t>NOVEMBER 2022</w:t>
          </w:r>
        </w:p>
      </w:tc>
      <w:tc>
        <w:tcPr>
          <w:tcW w:w="5580" w:type="dxa"/>
          <w:tcMar>
            <w:top w:w="0" w:type="dxa"/>
            <w:bottom w:w="0" w:type="dxa"/>
          </w:tcMar>
          <w:vAlign w:val="center"/>
        </w:tcPr>
        <w:p w14:paraId="01766CEF" w14:textId="77777777" w:rsidR="00E75269" w:rsidRDefault="00E75269">
          <w:pPr>
            <w:pStyle w:val="Normal1"/>
            <w:jc w:val="right"/>
            <w:rPr>
              <w:rFonts w:ascii="Arial" w:eastAsia="Arial" w:hAnsi="Arial" w:cs="Arial"/>
            </w:rPr>
          </w:pPr>
          <w:r>
            <w:rPr>
              <w:rFonts w:ascii="Arial" w:eastAsia="Arial" w:hAnsi="Arial" w:cs="Arial"/>
            </w:rPr>
            <w:t xml:space="preserve">Page </w:t>
          </w:r>
          <w:r w:rsidR="002D0A3C">
            <w:rPr>
              <w:rFonts w:ascii="Arial" w:eastAsia="Arial" w:hAnsi="Arial" w:cs="Arial"/>
              <w:sz w:val="20"/>
              <w:szCs w:val="20"/>
            </w:rPr>
            <w:fldChar w:fldCharType="begin"/>
          </w:r>
          <w:r>
            <w:rPr>
              <w:rFonts w:ascii="Arial" w:eastAsia="Arial" w:hAnsi="Arial" w:cs="Arial"/>
              <w:sz w:val="20"/>
              <w:szCs w:val="20"/>
            </w:rPr>
            <w:instrText>PAGE</w:instrText>
          </w:r>
          <w:r w:rsidR="002D0A3C">
            <w:rPr>
              <w:rFonts w:ascii="Arial" w:eastAsia="Arial" w:hAnsi="Arial" w:cs="Arial"/>
              <w:sz w:val="20"/>
              <w:szCs w:val="20"/>
            </w:rPr>
            <w:fldChar w:fldCharType="separate"/>
          </w:r>
          <w:r w:rsidR="00911C3C">
            <w:rPr>
              <w:rFonts w:ascii="Arial" w:eastAsia="Arial" w:hAnsi="Arial" w:cs="Arial"/>
              <w:noProof/>
              <w:sz w:val="20"/>
              <w:szCs w:val="20"/>
            </w:rPr>
            <w:t>1</w:t>
          </w:r>
          <w:r w:rsidR="002D0A3C">
            <w:rPr>
              <w:rFonts w:ascii="Arial" w:eastAsia="Arial" w:hAnsi="Arial" w:cs="Arial"/>
              <w:sz w:val="20"/>
              <w:szCs w:val="20"/>
            </w:rPr>
            <w:fldChar w:fldCharType="end"/>
          </w:r>
        </w:p>
      </w:tc>
    </w:tr>
  </w:tbl>
  <w:p w14:paraId="5471F964" w14:textId="77777777" w:rsidR="00E75269" w:rsidRDefault="00E75269">
    <w:pPr>
      <w:pStyle w:val="Norm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DE42D" w14:textId="77777777" w:rsidR="00D85599" w:rsidRDefault="00D85599" w:rsidP="005D70D5">
      <w:r>
        <w:separator/>
      </w:r>
    </w:p>
  </w:footnote>
  <w:footnote w:type="continuationSeparator" w:id="0">
    <w:p w14:paraId="1C76B51D" w14:textId="77777777" w:rsidR="00D85599" w:rsidRDefault="00D85599" w:rsidP="005D7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CC155" w14:textId="77777777" w:rsidR="00E75269" w:rsidRDefault="00E75269">
    <w:pPr>
      <w:pStyle w:val="Normal1"/>
      <w:widowControl w:val="0"/>
      <w:pBdr>
        <w:top w:val="nil"/>
        <w:left w:val="nil"/>
        <w:bottom w:val="nil"/>
        <w:right w:val="nil"/>
        <w:between w:val="nil"/>
      </w:pBdr>
      <w:spacing w:line="276" w:lineRule="auto"/>
      <w:rPr>
        <w:rFonts w:ascii="Arial" w:eastAsia="Arial" w:hAnsi="Arial" w:cs="Arial"/>
        <w:b/>
      </w:rPr>
    </w:pPr>
  </w:p>
  <w:tbl>
    <w:tblPr>
      <w:tblStyle w:val="a"/>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3"/>
      <w:gridCol w:w="1947"/>
      <w:gridCol w:w="2700"/>
    </w:tblGrid>
    <w:tr w:rsidR="00E75269" w14:paraId="424E12AC" w14:textId="77777777">
      <w:trPr>
        <w:trHeight w:val="860"/>
      </w:trPr>
      <w:tc>
        <w:tcPr>
          <w:tcW w:w="4893" w:type="dxa"/>
          <w:tcMar>
            <w:top w:w="0" w:type="dxa"/>
            <w:bottom w:w="0" w:type="dxa"/>
          </w:tcMar>
          <w:vAlign w:val="center"/>
        </w:tcPr>
        <w:p w14:paraId="6A219AB1" w14:textId="77777777" w:rsidR="00E75269" w:rsidRDefault="00E75269">
          <w:pPr>
            <w:pStyle w:val="Normal1"/>
            <w:pBdr>
              <w:top w:val="nil"/>
              <w:left w:val="nil"/>
              <w:bottom w:val="nil"/>
              <w:right w:val="nil"/>
              <w:between w:val="nil"/>
            </w:pBdr>
            <w:tabs>
              <w:tab w:val="center" w:pos="4320"/>
              <w:tab w:val="right" w:pos="8640"/>
            </w:tabs>
            <w:rPr>
              <w:rFonts w:ascii="Arial" w:eastAsia="Arial" w:hAnsi="Arial" w:cs="Arial"/>
              <w:b/>
              <w:color w:val="000000"/>
            </w:rPr>
          </w:pPr>
          <w:r>
            <w:rPr>
              <w:rFonts w:ascii="Arial" w:eastAsia="Arial" w:hAnsi="Arial" w:cs="Arial"/>
              <w:b/>
              <w:color w:val="000000"/>
            </w:rPr>
            <w:t>DEPARTMENT OF HUMAN SERVICES</w:t>
          </w:r>
        </w:p>
        <w:p w14:paraId="263856B6" w14:textId="77777777" w:rsidR="00E75269" w:rsidRDefault="00E75269">
          <w:pPr>
            <w:pStyle w:val="Normal1"/>
            <w:pBdr>
              <w:top w:val="nil"/>
              <w:left w:val="nil"/>
              <w:bottom w:val="nil"/>
              <w:right w:val="nil"/>
              <w:between w:val="nil"/>
            </w:pBdr>
            <w:tabs>
              <w:tab w:val="center" w:pos="4320"/>
              <w:tab w:val="right" w:pos="8640"/>
            </w:tabs>
            <w:rPr>
              <w:rFonts w:ascii="Arial" w:eastAsia="Arial" w:hAnsi="Arial" w:cs="Arial"/>
              <w:color w:val="000000"/>
            </w:rPr>
          </w:pPr>
          <w:r>
            <w:rPr>
              <w:rFonts w:ascii="Arial" w:eastAsia="Arial" w:hAnsi="Arial" w:cs="Arial"/>
              <w:b/>
              <w:color w:val="000000"/>
            </w:rPr>
            <w:t>FAMILY INVESTMENT ADMINISTRATION</w:t>
          </w:r>
        </w:p>
      </w:tc>
      <w:tc>
        <w:tcPr>
          <w:tcW w:w="4647" w:type="dxa"/>
          <w:gridSpan w:val="2"/>
          <w:tcMar>
            <w:top w:w="0" w:type="dxa"/>
            <w:bottom w:w="0" w:type="dxa"/>
          </w:tcMar>
          <w:vAlign w:val="center"/>
        </w:tcPr>
        <w:p w14:paraId="5A6358DC" w14:textId="77777777" w:rsidR="00E75269" w:rsidRDefault="00E75269">
          <w:pPr>
            <w:pStyle w:val="Normal1"/>
            <w:pBdr>
              <w:top w:val="nil"/>
              <w:left w:val="nil"/>
              <w:bottom w:val="nil"/>
              <w:right w:val="nil"/>
              <w:between w:val="nil"/>
            </w:pBdr>
            <w:tabs>
              <w:tab w:val="center" w:pos="4320"/>
              <w:tab w:val="right" w:pos="8640"/>
            </w:tabs>
            <w:jc w:val="center"/>
            <w:rPr>
              <w:rFonts w:ascii="Arial" w:eastAsia="Arial" w:hAnsi="Arial" w:cs="Arial"/>
              <w:b/>
              <w:color w:val="000000"/>
            </w:rPr>
          </w:pPr>
          <w:r>
            <w:rPr>
              <w:rFonts w:ascii="Arial" w:eastAsia="Arial" w:hAnsi="Arial" w:cs="Arial"/>
              <w:b/>
              <w:color w:val="000000"/>
            </w:rPr>
            <w:t>TEMPORARY CASH ASSISTANCE</w:t>
          </w:r>
        </w:p>
        <w:p w14:paraId="3054DA79" w14:textId="77777777" w:rsidR="00E75269" w:rsidRDefault="00E75269">
          <w:pPr>
            <w:pStyle w:val="Normal1"/>
            <w:pBdr>
              <w:top w:val="nil"/>
              <w:left w:val="nil"/>
              <w:bottom w:val="nil"/>
              <w:right w:val="nil"/>
              <w:between w:val="nil"/>
            </w:pBdr>
            <w:tabs>
              <w:tab w:val="center" w:pos="4320"/>
              <w:tab w:val="right" w:pos="8640"/>
            </w:tabs>
            <w:jc w:val="center"/>
            <w:rPr>
              <w:rFonts w:ascii="Arial" w:eastAsia="Arial" w:hAnsi="Arial" w:cs="Arial"/>
              <w:b/>
              <w:color w:val="000000"/>
            </w:rPr>
          </w:pPr>
          <w:r>
            <w:rPr>
              <w:rFonts w:ascii="Arial" w:eastAsia="Arial" w:hAnsi="Arial" w:cs="Arial"/>
              <w:b/>
              <w:color w:val="000000"/>
            </w:rPr>
            <w:t xml:space="preserve"> MANUAL</w:t>
          </w:r>
        </w:p>
      </w:tc>
    </w:tr>
    <w:tr w:rsidR="00E75269" w14:paraId="16A43AAC" w14:textId="77777777">
      <w:trPr>
        <w:trHeight w:val="900"/>
      </w:trPr>
      <w:tc>
        <w:tcPr>
          <w:tcW w:w="4893" w:type="dxa"/>
          <w:tcMar>
            <w:top w:w="0" w:type="dxa"/>
            <w:bottom w:w="0" w:type="dxa"/>
          </w:tcMar>
          <w:vAlign w:val="center"/>
        </w:tcPr>
        <w:p w14:paraId="482F2B99" w14:textId="77777777" w:rsidR="00E75269" w:rsidRDefault="00E75269">
          <w:pPr>
            <w:pStyle w:val="Normal1"/>
            <w:pBdr>
              <w:top w:val="nil"/>
              <w:left w:val="nil"/>
              <w:bottom w:val="nil"/>
              <w:right w:val="nil"/>
              <w:between w:val="nil"/>
            </w:pBdr>
            <w:tabs>
              <w:tab w:val="center" w:pos="4320"/>
              <w:tab w:val="right" w:pos="8640"/>
            </w:tabs>
            <w:rPr>
              <w:rFonts w:ascii="Arial" w:eastAsia="Arial" w:hAnsi="Arial" w:cs="Arial"/>
              <w:b/>
              <w:color w:val="000000"/>
              <w:highlight w:val="white"/>
            </w:rPr>
          </w:pPr>
          <w:r>
            <w:rPr>
              <w:rFonts w:ascii="Arial" w:eastAsia="Arial" w:hAnsi="Arial" w:cs="Arial"/>
              <w:b/>
              <w:color w:val="000000"/>
              <w:highlight w:val="white"/>
            </w:rPr>
            <w:t>TRANSITIONAL SUPPORT SERVICES  13</w:t>
          </w:r>
          <w:r>
            <w:rPr>
              <w:rFonts w:ascii="Arial" w:eastAsia="Arial" w:hAnsi="Arial" w:cs="Arial"/>
              <w:b/>
              <w:highlight w:val="white"/>
            </w:rPr>
            <w:t>1</w:t>
          </w:r>
          <w:r>
            <w:rPr>
              <w:rFonts w:ascii="Arial" w:eastAsia="Arial" w:hAnsi="Arial" w:cs="Arial"/>
              <w:b/>
              <w:color w:val="000000"/>
              <w:highlight w:val="white"/>
            </w:rPr>
            <w:t>1</w:t>
          </w:r>
        </w:p>
      </w:tc>
      <w:tc>
        <w:tcPr>
          <w:tcW w:w="1947" w:type="dxa"/>
          <w:tcMar>
            <w:top w:w="0" w:type="dxa"/>
            <w:bottom w:w="0" w:type="dxa"/>
          </w:tcMar>
          <w:vAlign w:val="center"/>
        </w:tcPr>
        <w:p w14:paraId="54A861A0" w14:textId="77777777" w:rsidR="00E75269" w:rsidRDefault="00E75269">
          <w:pPr>
            <w:pStyle w:val="Normal1"/>
            <w:pBdr>
              <w:top w:val="nil"/>
              <w:left w:val="nil"/>
              <w:bottom w:val="nil"/>
              <w:right w:val="nil"/>
              <w:between w:val="nil"/>
            </w:pBdr>
            <w:tabs>
              <w:tab w:val="center" w:pos="4320"/>
              <w:tab w:val="right" w:pos="8640"/>
            </w:tabs>
            <w:jc w:val="center"/>
            <w:rPr>
              <w:rFonts w:ascii="Arial" w:eastAsia="Arial" w:hAnsi="Arial" w:cs="Arial"/>
              <w:b/>
              <w:color w:val="000000"/>
              <w:highlight w:val="white"/>
            </w:rPr>
          </w:pPr>
        </w:p>
      </w:tc>
      <w:tc>
        <w:tcPr>
          <w:tcW w:w="2700" w:type="dxa"/>
          <w:tcMar>
            <w:top w:w="0" w:type="dxa"/>
            <w:bottom w:w="0" w:type="dxa"/>
          </w:tcMar>
          <w:vAlign w:val="center"/>
        </w:tcPr>
        <w:p w14:paraId="5AB6172F" w14:textId="77777777" w:rsidR="00E75269" w:rsidRDefault="00E75269" w:rsidP="006C074E">
          <w:pPr>
            <w:pStyle w:val="Normal1"/>
            <w:pBdr>
              <w:top w:val="nil"/>
              <w:left w:val="nil"/>
              <w:bottom w:val="nil"/>
              <w:right w:val="nil"/>
              <w:between w:val="nil"/>
            </w:pBdr>
            <w:tabs>
              <w:tab w:val="center" w:pos="4320"/>
              <w:tab w:val="right" w:pos="8640"/>
            </w:tabs>
            <w:rPr>
              <w:rFonts w:ascii="Arial" w:eastAsia="Arial" w:hAnsi="Arial" w:cs="Arial"/>
              <w:b/>
              <w:color w:val="000000"/>
              <w:highlight w:val="white"/>
            </w:rPr>
          </w:pPr>
          <w:r>
            <w:rPr>
              <w:rFonts w:ascii="Arial" w:eastAsia="Arial" w:hAnsi="Arial" w:cs="Arial"/>
              <w:b/>
              <w:color w:val="000000"/>
              <w:highlight w:val="white"/>
            </w:rPr>
            <w:t>SUPPORTIVE SERVICES 1300</w:t>
          </w:r>
        </w:p>
      </w:tc>
    </w:tr>
  </w:tbl>
  <w:p w14:paraId="356B8EBC" w14:textId="77777777" w:rsidR="00E75269" w:rsidRDefault="00E75269">
    <w:pPr>
      <w:pStyle w:val="Normal1"/>
      <w:pBdr>
        <w:top w:val="nil"/>
        <w:left w:val="nil"/>
        <w:bottom w:val="nil"/>
        <w:right w:val="nil"/>
        <w:between w:val="nil"/>
      </w:pBdr>
      <w:tabs>
        <w:tab w:val="center" w:pos="4320"/>
        <w:tab w:val="right" w:pos="8640"/>
      </w:tabs>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3053"/>
    <w:multiLevelType w:val="hybridMultilevel"/>
    <w:tmpl w:val="DC483B9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32FD2"/>
    <w:multiLevelType w:val="multilevel"/>
    <w:tmpl w:val="B0D44818"/>
    <w:lvl w:ilvl="0">
      <w:start w:val="1"/>
      <w:numFmt w:val="upperLetter"/>
      <w:lvlText w:val="%1."/>
      <w:lvlJc w:val="left"/>
      <w:pPr>
        <w:ind w:left="720" w:hanging="720"/>
      </w:pPr>
      <w:rPr>
        <w:b/>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D3661F5"/>
    <w:multiLevelType w:val="multilevel"/>
    <w:tmpl w:val="794E0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7B0B6D"/>
    <w:multiLevelType w:val="multilevel"/>
    <w:tmpl w:val="F612A77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62154AC"/>
    <w:multiLevelType w:val="multilevel"/>
    <w:tmpl w:val="40D0C2BA"/>
    <w:lvl w:ilvl="0">
      <w:start w:val="13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A62028"/>
    <w:multiLevelType w:val="multilevel"/>
    <w:tmpl w:val="AAE48E3A"/>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1D518B1"/>
    <w:multiLevelType w:val="multilevel"/>
    <w:tmpl w:val="E05847DA"/>
    <w:lvl w:ilvl="0">
      <w:start w:val="1"/>
      <w:numFmt w:val="upperLetter"/>
      <w:lvlText w:val="%1."/>
      <w:lvlJc w:val="left"/>
      <w:pPr>
        <w:ind w:left="36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638E7FA1"/>
    <w:multiLevelType w:val="multilevel"/>
    <w:tmpl w:val="35E8741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6081F22"/>
    <w:multiLevelType w:val="multilevel"/>
    <w:tmpl w:val="11FA1068"/>
    <w:lvl w:ilvl="0">
      <w:start w:val="1"/>
      <w:numFmt w:val="upperLetter"/>
      <w:lvlText w:val="%1."/>
      <w:lvlJc w:val="left"/>
      <w:pPr>
        <w:ind w:left="36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79C43833"/>
    <w:multiLevelType w:val="multilevel"/>
    <w:tmpl w:val="654A3A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
  </w:num>
  <w:num w:numId="2">
    <w:abstractNumId w:val="1"/>
  </w:num>
  <w:num w:numId="3">
    <w:abstractNumId w:val="3"/>
  </w:num>
  <w:num w:numId="4">
    <w:abstractNumId w:val="8"/>
  </w:num>
  <w:num w:numId="5">
    <w:abstractNumId w:val="6"/>
  </w:num>
  <w:num w:numId="6">
    <w:abstractNumId w:val="9"/>
  </w:num>
  <w:num w:numId="7">
    <w:abstractNumId w:val="7"/>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UwMzUwtDACEkaGBko6SsGpxcWZ+XkgBUa1ALK9OKYsAAAA"/>
  </w:docVars>
  <w:rsids>
    <w:rsidRoot w:val="005D70D5"/>
    <w:rsid w:val="00093AF2"/>
    <w:rsid w:val="002C626A"/>
    <w:rsid w:val="002C7A9D"/>
    <w:rsid w:val="002D0A3C"/>
    <w:rsid w:val="00377202"/>
    <w:rsid w:val="00396233"/>
    <w:rsid w:val="003B63DB"/>
    <w:rsid w:val="005262BB"/>
    <w:rsid w:val="00561D05"/>
    <w:rsid w:val="005D70D5"/>
    <w:rsid w:val="006C074E"/>
    <w:rsid w:val="00704285"/>
    <w:rsid w:val="007657A0"/>
    <w:rsid w:val="00781C54"/>
    <w:rsid w:val="008105E6"/>
    <w:rsid w:val="008D4418"/>
    <w:rsid w:val="00911C3C"/>
    <w:rsid w:val="00996992"/>
    <w:rsid w:val="009D3A01"/>
    <w:rsid w:val="00A83BAA"/>
    <w:rsid w:val="00C84047"/>
    <w:rsid w:val="00D85599"/>
    <w:rsid w:val="00E75269"/>
    <w:rsid w:val="00E91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5AD6"/>
  <w15:docId w15:val="{CF83EB0B-89C5-40F7-B08B-4BBECBBF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202"/>
  </w:style>
  <w:style w:type="paragraph" w:styleId="Heading1">
    <w:name w:val="heading 1"/>
    <w:basedOn w:val="Normal1"/>
    <w:next w:val="Normal1"/>
    <w:rsid w:val="005D70D5"/>
    <w:pPr>
      <w:keepNext/>
      <w:outlineLvl w:val="0"/>
    </w:pPr>
    <w:rPr>
      <w:rFonts w:ascii="Arial" w:eastAsia="Arial" w:hAnsi="Arial" w:cs="Arial"/>
    </w:rPr>
  </w:style>
  <w:style w:type="paragraph" w:styleId="Heading2">
    <w:name w:val="heading 2"/>
    <w:basedOn w:val="Normal1"/>
    <w:next w:val="Normal1"/>
    <w:rsid w:val="005D70D5"/>
    <w:pPr>
      <w:keepNext/>
      <w:outlineLvl w:val="1"/>
    </w:pPr>
    <w:rPr>
      <w:rFonts w:ascii="Arial" w:eastAsia="Arial" w:hAnsi="Arial" w:cs="Arial"/>
      <w:b/>
    </w:rPr>
  </w:style>
  <w:style w:type="paragraph" w:styleId="Heading3">
    <w:name w:val="heading 3"/>
    <w:basedOn w:val="Normal1"/>
    <w:next w:val="Normal1"/>
    <w:rsid w:val="005D70D5"/>
    <w:pPr>
      <w:keepNext/>
      <w:ind w:left="360" w:hanging="360"/>
      <w:outlineLvl w:val="2"/>
    </w:pPr>
    <w:rPr>
      <w:rFonts w:ascii="Arial" w:eastAsia="Arial" w:hAnsi="Arial" w:cs="Arial"/>
      <w:b/>
    </w:rPr>
  </w:style>
  <w:style w:type="paragraph" w:styleId="Heading4">
    <w:name w:val="heading 4"/>
    <w:basedOn w:val="Normal1"/>
    <w:next w:val="Normal1"/>
    <w:rsid w:val="005D70D5"/>
    <w:pPr>
      <w:keepNext/>
      <w:spacing w:after="180"/>
      <w:ind w:left="360"/>
      <w:outlineLvl w:val="3"/>
    </w:pPr>
    <w:rPr>
      <w:rFonts w:ascii="Arial" w:eastAsia="Arial" w:hAnsi="Arial" w:cs="Arial"/>
      <w:u w:val="single"/>
    </w:rPr>
  </w:style>
  <w:style w:type="paragraph" w:styleId="Heading5">
    <w:name w:val="heading 5"/>
    <w:basedOn w:val="Normal1"/>
    <w:next w:val="Normal1"/>
    <w:rsid w:val="005D70D5"/>
    <w:pPr>
      <w:keepNext/>
      <w:keepLines/>
      <w:spacing w:before="220" w:after="40"/>
      <w:outlineLvl w:val="4"/>
    </w:pPr>
    <w:rPr>
      <w:b/>
      <w:sz w:val="22"/>
      <w:szCs w:val="22"/>
    </w:rPr>
  </w:style>
  <w:style w:type="paragraph" w:styleId="Heading6">
    <w:name w:val="heading 6"/>
    <w:basedOn w:val="Normal1"/>
    <w:next w:val="Normal1"/>
    <w:rsid w:val="005D70D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D70D5"/>
  </w:style>
  <w:style w:type="paragraph" w:styleId="Title">
    <w:name w:val="Title"/>
    <w:basedOn w:val="Normal1"/>
    <w:next w:val="Normal1"/>
    <w:rsid w:val="005D70D5"/>
    <w:pPr>
      <w:keepNext/>
      <w:keepLines/>
      <w:spacing w:before="480" w:after="120"/>
    </w:pPr>
    <w:rPr>
      <w:b/>
      <w:sz w:val="72"/>
      <w:szCs w:val="72"/>
    </w:rPr>
  </w:style>
  <w:style w:type="paragraph" w:styleId="Subtitle">
    <w:name w:val="Subtitle"/>
    <w:basedOn w:val="Normal1"/>
    <w:next w:val="Normal1"/>
    <w:rsid w:val="005D70D5"/>
    <w:pPr>
      <w:keepNext/>
      <w:keepLines/>
      <w:spacing w:before="360" w:after="80"/>
    </w:pPr>
    <w:rPr>
      <w:rFonts w:ascii="Georgia" w:eastAsia="Georgia" w:hAnsi="Georgia" w:cs="Georgia"/>
      <w:i/>
      <w:color w:val="666666"/>
      <w:sz w:val="48"/>
      <w:szCs w:val="48"/>
    </w:rPr>
  </w:style>
  <w:style w:type="table" w:customStyle="1" w:styleId="a">
    <w:basedOn w:val="TableNormal"/>
    <w:rsid w:val="005D70D5"/>
    <w:tblPr>
      <w:tblStyleRowBandSize w:val="1"/>
      <w:tblStyleColBandSize w:val="1"/>
      <w:tblCellMar>
        <w:left w:w="115" w:type="dxa"/>
        <w:right w:w="115" w:type="dxa"/>
      </w:tblCellMar>
    </w:tblPr>
  </w:style>
  <w:style w:type="table" w:customStyle="1" w:styleId="a0">
    <w:basedOn w:val="TableNormal"/>
    <w:rsid w:val="005D70D5"/>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C074E"/>
    <w:pPr>
      <w:tabs>
        <w:tab w:val="center" w:pos="4680"/>
        <w:tab w:val="right" w:pos="9360"/>
      </w:tabs>
    </w:pPr>
  </w:style>
  <w:style w:type="character" w:customStyle="1" w:styleId="HeaderChar">
    <w:name w:val="Header Char"/>
    <w:basedOn w:val="DefaultParagraphFont"/>
    <w:link w:val="Header"/>
    <w:uiPriority w:val="99"/>
    <w:rsid w:val="006C074E"/>
  </w:style>
  <w:style w:type="paragraph" w:styleId="Footer">
    <w:name w:val="footer"/>
    <w:basedOn w:val="Normal"/>
    <w:link w:val="FooterChar"/>
    <w:uiPriority w:val="99"/>
    <w:unhideWhenUsed/>
    <w:rsid w:val="006C074E"/>
    <w:pPr>
      <w:tabs>
        <w:tab w:val="center" w:pos="4680"/>
        <w:tab w:val="right" w:pos="9360"/>
      </w:tabs>
    </w:pPr>
  </w:style>
  <w:style w:type="character" w:customStyle="1" w:styleId="FooterChar">
    <w:name w:val="Footer Char"/>
    <w:basedOn w:val="DefaultParagraphFont"/>
    <w:link w:val="Footer"/>
    <w:uiPriority w:val="99"/>
    <w:rsid w:val="006C074E"/>
  </w:style>
  <w:style w:type="paragraph" w:styleId="ListParagraph">
    <w:name w:val="List Paragraph"/>
    <w:basedOn w:val="Normal"/>
    <w:uiPriority w:val="34"/>
    <w:qFormat/>
    <w:rsid w:val="006C074E"/>
    <w:pPr>
      <w:ind w:left="720"/>
      <w:contextualSpacing/>
    </w:pPr>
  </w:style>
  <w:style w:type="paragraph" w:styleId="BalloonText">
    <w:name w:val="Balloon Text"/>
    <w:basedOn w:val="Normal"/>
    <w:link w:val="BalloonTextChar"/>
    <w:uiPriority w:val="99"/>
    <w:semiHidden/>
    <w:unhideWhenUsed/>
    <w:rsid w:val="00E75269"/>
    <w:rPr>
      <w:rFonts w:ascii="Tahoma" w:hAnsi="Tahoma" w:cs="Tahoma"/>
      <w:sz w:val="16"/>
      <w:szCs w:val="16"/>
    </w:rPr>
  </w:style>
  <w:style w:type="character" w:customStyle="1" w:styleId="BalloonTextChar">
    <w:name w:val="Balloon Text Char"/>
    <w:basedOn w:val="DefaultParagraphFont"/>
    <w:link w:val="BalloonText"/>
    <w:uiPriority w:val="99"/>
    <w:semiHidden/>
    <w:rsid w:val="00E752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A. Durham</dc:creator>
  <cp:lastModifiedBy>Vera Adams</cp:lastModifiedBy>
  <cp:revision>2</cp:revision>
  <dcterms:created xsi:type="dcterms:W3CDTF">2022-11-30T16:51:00Z</dcterms:created>
  <dcterms:modified xsi:type="dcterms:W3CDTF">2022-11-30T16:51:00Z</dcterms:modified>
</cp:coreProperties>
</file>